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1977 </w:t>
      </w:r>
      <w:r>
        <w:rPr>
          <w:rtl w:val="0"/>
          <w:lang w:val="en-US"/>
        </w:rPr>
        <w:t xml:space="preserve">| </w:t>
      </w:r>
      <w:r>
        <w:rPr>
          <w:rtl w:val="0"/>
        </w:rPr>
        <w:t>Tehran, Iran</w:t>
      </w:r>
    </w:p>
    <w:p>
      <w:pPr>
        <w:pStyle w:val="Body"/>
        <w:bidi w:val="0"/>
      </w:pPr>
      <w:r>
        <w:rPr>
          <w:rtl w:val="0"/>
          <w:lang w:val="en-US"/>
        </w:rPr>
        <w:t>Lives and work in Tehran</w:t>
      </w:r>
      <w:r>
        <w:rPr>
          <w:rtl w:val="0"/>
          <w:lang w:val="en-US"/>
        </w:rPr>
        <w:t>-</w:t>
      </w:r>
      <w:r>
        <w:rPr>
          <w:rtl w:val="0"/>
          <w:lang w:val="nl-NL"/>
        </w:rPr>
        <w:t>Iran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Education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2005</w:t>
      </w:r>
      <w:r>
        <w:tab/>
        <w:tab/>
        <w:tab/>
        <w:tab/>
        <w:tab/>
      </w:r>
      <w:r>
        <w:rPr>
          <w:rtl w:val="0"/>
          <w:lang w:val="en-US"/>
        </w:rPr>
        <w:t>BA, University of Arts, Tehran</w:t>
      </w:r>
      <w:r>
        <w:rPr>
          <w:rtl w:val="0"/>
          <w:lang w:val="en-US"/>
        </w:rPr>
        <w:t>-Iran.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rtl w:val="0"/>
          <w:lang w:val="it-IT"/>
        </w:rPr>
        <w:t>Solo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Exhibitions</w:t>
      </w:r>
      <w:r>
        <w:rPr>
          <w:rtl w:val="0"/>
          <w:lang w:val="en-US"/>
        </w:rPr>
        <w:t xml:space="preserve"> (selected)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2012</w:t>
      </w:r>
      <w:r>
        <w:tab/>
        <w:tab/>
        <w:tab/>
        <w:tab/>
        <w:tab/>
      </w:r>
      <w:r>
        <w:rPr>
          <w:rtl w:val="0"/>
        </w:rPr>
        <w:t>“</w:t>
      </w:r>
      <w:r>
        <w:rPr>
          <w:rtl w:val="0"/>
          <w:lang w:val="nl-NL"/>
        </w:rPr>
        <w:t>Wet dog</w:t>
      </w:r>
      <w:r>
        <w:rPr>
          <w:rtl w:val="0"/>
        </w:rPr>
        <w:t>”</w:t>
      </w:r>
      <w:r>
        <w:rPr>
          <w:rtl w:val="0"/>
        </w:rPr>
        <w:t>, Carbon 12, Dubai</w:t>
      </w:r>
      <w:r>
        <w:rPr>
          <w:rtl w:val="0"/>
          <w:lang w:val="en-US"/>
        </w:rPr>
        <w:t>-UAE.</w:t>
      </w:r>
    </w:p>
    <w:p>
      <w:pPr>
        <w:pStyle w:val="Body"/>
        <w:bidi w:val="0"/>
      </w:pPr>
      <w:r>
        <w:rPr>
          <w:rtl w:val="0"/>
        </w:rPr>
        <w:t>2010</w:t>
      </w:r>
      <w:r>
        <w:tab/>
        <w:tab/>
        <w:tab/>
        <w:tab/>
        <w:tab/>
      </w:r>
      <w:r>
        <w:rPr>
          <w:rtl w:val="0"/>
        </w:rPr>
        <w:t>“</w:t>
      </w:r>
      <w:r>
        <w:rPr>
          <w:rtl w:val="0"/>
          <w:lang w:val="en-US"/>
        </w:rPr>
        <w:t xml:space="preserve">Between a </w:t>
      </w:r>
      <w:r>
        <w:rPr>
          <w:rtl w:val="0"/>
          <w:lang w:val="en-US"/>
        </w:rPr>
        <w:t>R</w:t>
      </w:r>
      <w:r>
        <w:rPr>
          <w:rtl w:val="0"/>
          <w:lang w:val="en-US"/>
        </w:rPr>
        <w:t xml:space="preserve">ock and a </w:t>
      </w:r>
      <w:r>
        <w:rPr>
          <w:rtl w:val="0"/>
          <w:lang w:val="en-US"/>
        </w:rPr>
        <w:t>H</w:t>
      </w:r>
      <w:r>
        <w:rPr>
          <w:rtl w:val="0"/>
        </w:rPr>
        <w:t xml:space="preserve">ard </w:t>
      </w:r>
      <w:r>
        <w:rPr>
          <w:rtl w:val="0"/>
          <w:lang w:val="en-US"/>
        </w:rPr>
        <w:t>P</w:t>
      </w:r>
      <w:r>
        <w:rPr>
          <w:rtl w:val="0"/>
          <w:lang w:val="en-US"/>
        </w:rPr>
        <w:t>lace</w:t>
      </w:r>
      <w:r>
        <w:rPr>
          <w:rtl w:val="0"/>
        </w:rPr>
        <w:t>”</w:t>
      </w:r>
      <w:r>
        <w:rPr>
          <w:rtl w:val="0"/>
          <w:lang w:val="es-ES_tradnl"/>
        </w:rPr>
        <w:t>,Carbon12,</w:t>
      </w:r>
      <w:r>
        <w:rPr>
          <w:rtl w:val="0"/>
          <w:lang w:val="en-US"/>
        </w:rPr>
        <w:t xml:space="preserve"> </w:t>
      </w:r>
      <w:r>
        <w:rPr>
          <w:rtl w:val="0"/>
        </w:rPr>
        <w:t>Dubai</w:t>
      </w:r>
      <w:r>
        <w:rPr>
          <w:rtl w:val="0"/>
          <w:lang w:val="en-US"/>
        </w:rPr>
        <w:t>-</w:t>
      </w:r>
      <w:r>
        <w:rPr>
          <w:rtl w:val="0"/>
          <w:lang w:val="pt-PT"/>
        </w:rPr>
        <w:t>UAE.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rtl w:val="0"/>
          <w:lang w:val="fr-FR"/>
        </w:rPr>
        <w:t>Group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Exhibitions</w:t>
      </w:r>
      <w:r>
        <w:rPr>
          <w:rtl w:val="0"/>
          <w:lang w:val="en-US"/>
        </w:rPr>
        <w:t xml:space="preserve"> (selected)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2010</w:t>
      </w:r>
      <w:r>
        <w:tab/>
        <w:tab/>
        <w:tab/>
        <w:tab/>
        <w:tab/>
      </w:r>
      <w:r>
        <w:rPr>
          <w:rtl w:val="0"/>
        </w:rPr>
        <w:t>“</w:t>
      </w:r>
      <w:r>
        <w:rPr>
          <w:rtl w:val="0"/>
          <w:lang w:val="en-US"/>
        </w:rPr>
        <w:t xml:space="preserve">The </w:t>
      </w:r>
      <w:r>
        <w:rPr>
          <w:rtl w:val="0"/>
          <w:lang w:val="en-US"/>
        </w:rPr>
        <w:t>U</w:t>
      </w:r>
      <w:r>
        <w:rPr>
          <w:rtl w:val="0"/>
          <w:lang w:val="en-US"/>
        </w:rPr>
        <w:t xml:space="preserve">nbearable </w:t>
      </w:r>
      <w:r>
        <w:rPr>
          <w:rtl w:val="0"/>
          <w:lang w:val="en-US"/>
        </w:rPr>
        <w:t>L</w:t>
      </w:r>
      <w:r>
        <w:rPr>
          <w:rtl w:val="0"/>
          <w:lang w:val="en-US"/>
        </w:rPr>
        <w:t xml:space="preserve">ightness of </w:t>
      </w:r>
      <w:r>
        <w:rPr>
          <w:rtl w:val="0"/>
          <w:lang w:val="en-US"/>
        </w:rPr>
        <w:t>B</w:t>
      </w:r>
      <w:r>
        <w:rPr>
          <w:rtl w:val="0"/>
          <w:lang w:val="de-DE"/>
        </w:rPr>
        <w:t>eing</w:t>
      </w:r>
      <w:r>
        <w:rPr>
          <w:rtl w:val="0"/>
        </w:rPr>
        <w:t>”</w:t>
      </w:r>
      <w:r>
        <w:rPr>
          <w:rtl w:val="0"/>
        </w:rPr>
        <w:t>, Carbon 12, Dubai</w:t>
      </w:r>
      <w:r>
        <w:rPr>
          <w:rtl w:val="0"/>
          <w:lang w:val="en-US"/>
        </w:rPr>
        <w:t>-UAE.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2009</w:t>
      </w:r>
      <w:r>
        <w:tab/>
        <w:tab/>
        <w:tab/>
        <w:tab/>
        <w:tab/>
      </w:r>
      <w:r>
        <w:rPr>
          <w:rtl w:val="0"/>
        </w:rPr>
        <w:t>“</w:t>
      </w:r>
      <w:r>
        <w:rPr>
          <w:rtl w:val="0"/>
          <w:lang w:val="en-US"/>
        </w:rPr>
        <w:t>Seven positions</w:t>
      </w:r>
      <w:r>
        <w:rPr>
          <w:rtl w:val="0"/>
        </w:rPr>
        <w:t>”</w:t>
      </w:r>
      <w:r>
        <w:rPr>
          <w:rtl w:val="0"/>
        </w:rPr>
        <w:t>, Carbon 12, Dubai</w:t>
      </w:r>
      <w:r>
        <w:rPr>
          <w:rtl w:val="0"/>
          <w:lang w:val="en-US"/>
        </w:rPr>
        <w:t>-</w:t>
      </w:r>
      <w:r>
        <w:rPr>
          <w:rtl w:val="0"/>
          <w:lang w:val="pt-PT"/>
        </w:rPr>
        <w:t>UAE.</w:t>
      </w:r>
    </w:p>
    <w:p>
      <w:pPr>
        <w:pStyle w:val="Body"/>
        <w:bidi w:val="0"/>
      </w:pPr>
      <w:r>
        <w:rPr>
          <w:rtl w:val="0"/>
        </w:rPr>
        <w:t>2008</w:t>
      </w:r>
      <w:r>
        <w:tab/>
        <w:tab/>
        <w:tab/>
        <w:tab/>
        <w:tab/>
      </w:r>
      <w:r>
        <w:rPr>
          <w:rtl w:val="0"/>
        </w:rPr>
        <w:t>“</w:t>
      </w:r>
      <w:r>
        <w:rPr>
          <w:rtl w:val="0"/>
          <w:lang w:val="en-US"/>
        </w:rPr>
        <w:t>Sneak preview</w:t>
      </w:r>
      <w:r>
        <w:rPr>
          <w:rtl w:val="0"/>
        </w:rPr>
        <w:t>”</w:t>
      </w:r>
      <w:r>
        <w:rPr>
          <w:rtl w:val="0"/>
        </w:rPr>
        <w:t>, Carbon 12, Dubai</w:t>
      </w:r>
      <w:r>
        <w:rPr>
          <w:rtl w:val="0"/>
          <w:lang w:val="en-US"/>
        </w:rPr>
        <w:t>-UAE.</w:t>
      </w:r>
      <w:r>
        <w:br w:type="textWrapping"/>
      </w:r>
      <w:r>
        <w:rPr>
          <w:rtl w:val="0"/>
        </w:rPr>
        <w:t>199</w:t>
      </w:r>
      <w:r>
        <w:rPr>
          <w:rtl w:val="0"/>
          <w:lang w:val="en-US"/>
        </w:rPr>
        <w:t>9</w:t>
        <w:tab/>
        <w:tab/>
        <w:tab/>
        <w:tab/>
        <w:tab/>
      </w:r>
      <w:r>
        <w:rPr>
          <w:rtl w:val="0"/>
        </w:rPr>
        <w:t>Mojdeh Gal</w:t>
      </w:r>
      <w:r>
        <w:rPr>
          <w:rtl w:val="0"/>
          <w:lang w:val="en-US"/>
        </w:rPr>
        <w:t>l</w:t>
      </w:r>
      <w:r>
        <w:rPr>
          <w:rtl w:val="0"/>
        </w:rPr>
        <w:t>ery, Tehran</w:t>
      </w:r>
      <w:r>
        <w:rPr>
          <w:rtl w:val="0"/>
          <w:lang w:val="en-US"/>
        </w:rPr>
        <w:t>-Iran.</w:t>
      </w:r>
    </w:p>
    <w:p>
      <w:pPr>
        <w:pStyle w:val="Body"/>
        <w:bidi w:val="0"/>
      </w:pPr>
      <w:r>
        <w:rPr>
          <w:rtl w:val="0"/>
        </w:rPr>
        <w:t>1998</w:t>
      </w:r>
      <w:r>
        <w:tab/>
        <w:tab/>
        <w:tab/>
        <w:tab/>
        <w:tab/>
      </w:r>
      <w:r>
        <w:rPr>
          <w:rtl w:val="0"/>
          <w:lang w:val="en-US"/>
        </w:rPr>
        <w:t>Elaheh Gallery in Tehran</w:t>
      </w:r>
      <w:r>
        <w:rPr>
          <w:rtl w:val="0"/>
          <w:lang w:val="en-US"/>
        </w:rPr>
        <w:t>-Iran.</w:t>
      </w:r>
      <w:r>
        <w:br w:type="textWrapping"/>
      </w:r>
      <w:r>
        <w:rPr>
          <w:rtl w:val="0"/>
        </w:rPr>
        <w:t>1997</w:t>
      </w:r>
      <w:r>
        <w:tab/>
        <w:tab/>
        <w:tab/>
        <w:tab/>
        <w:tab/>
      </w:r>
      <w:r>
        <w:rPr>
          <w:rtl w:val="0"/>
        </w:rPr>
        <w:t>Elaheh Gallery, Tehran-Iran.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>
        <w:b w:val="1"/>
        <w:bCs w:val="1"/>
        <w:color w:val="919191"/>
        <w:rtl w:val="0"/>
        <w:lang w:val="en-US"/>
      </w:rPr>
      <w:t xml:space="preserve">Farzan Sadjadi | CV | English 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